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首批杭州非遗主题旅游线路申报表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/>
        </w:rPr>
      </w:pPr>
    </w:p>
    <w:tbl>
      <w:tblPr>
        <w:tblStyle w:val="4"/>
        <w:tblW w:w="0" w:type="auto"/>
        <w:tblInd w:w="-2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4350"/>
        <w:gridCol w:w="1455"/>
        <w:gridCol w:w="15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9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申报区、县</w:t>
            </w:r>
          </w:p>
        </w:tc>
        <w:tc>
          <w:tcPr>
            <w:tcW w:w="73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线路名称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94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线路包含的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非遗项目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项目级别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项目级别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项目级别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94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kern w:val="2"/>
                <w:sz w:val="28"/>
                <w:szCs w:val="28"/>
                <w:lang w:val="en-US" w:eastAsia="zh-CN" w:bidi="ar"/>
              </w:rPr>
              <w:t>线 路 行 程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行程安排</w:t>
            </w: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"/>
              </w:rPr>
              <w:t>（以天数为单位，请标明线路内旅游景点中所包含的非遗项目）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</w:trPr>
        <w:tc>
          <w:tcPr>
            <w:tcW w:w="1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线路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简介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（不少于200字，基本情况、线路特点及亮点等）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当地文化旅游主管部门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推荐意见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200" w:firstLineChars="15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340" w:firstLineChars="15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9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市专家评审组意见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200" w:firstLineChars="15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200" w:firstLineChars="15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340" w:firstLineChars="15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9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市文广旅游局审核意见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200" w:firstLineChars="15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340" w:firstLineChars="15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注：图片资料附最后</w:t>
      </w:r>
    </w:p>
    <w:p>
      <w:pP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1440" w:right="1644" w:bottom="1440" w:left="1644" w:header="851" w:footer="992" w:gutter="0"/>
          <w:cols w:space="720" w:num="1"/>
          <w:rtlGutter w:val="0"/>
          <w:docGrid w:type="lines" w:linePitch="312" w:charSpace="0"/>
        </w:sectPr>
      </w:pPr>
    </w:p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hpgkvTAAAABQEAAA8AAAAAAAAAAQAg&#10;AAAAIgAAAGRycy9kb3ducmV2LnhtbFBLAQIUABQAAAAIAIdO4kAavmZj2gEAALsDAAAOAAAAAAAA&#10;AAEAIAAAACIBAABkcnMvZTJvRG9jLnhtbFBLBQYAAAAABgAGAFkBAABu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D63F0"/>
    <w:rsid w:val="0A9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cs="Calibri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2021-12-14T03:12:00Z</dcterms:created>
  <dc:creator>WJC</dc:creator>
  <cp:lastModifiedBy>WJC</cp:lastModifiedBy>
  <dcterms:modified xsi:type="dcterms:W3CDTF">2021-12-14T03:13:37Z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F138FDB8C5BE4A4CAE9597871AA040D5</vt:lpwstr>
  </property>
</Properties>
</file>