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A3" w:rsidRDefault="00D75D77" w:rsidP="00673D79">
      <w:pPr>
        <w:kinsoku/>
        <w:overflowPunct w:val="0"/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市政府办公厅关于加快促进旅游业高质量</w:t>
      </w:r>
    </w:p>
    <w:p w:rsidR="00477DA3" w:rsidRDefault="00D75D77" w:rsidP="00673D79">
      <w:pPr>
        <w:kinsoku/>
        <w:overflowPunct w:val="0"/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发展的若干政策举措</w:t>
      </w:r>
    </w:p>
    <w:p w:rsidR="00477DA3" w:rsidRPr="00673D79" w:rsidRDefault="00D75D77" w:rsidP="00673D79">
      <w:pPr>
        <w:kinsoku/>
        <w:overflowPunct w:val="0"/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673D79">
        <w:rPr>
          <w:rFonts w:ascii="楷体" w:eastAsia="楷体" w:hAnsi="楷体" w:hint="eastAsia"/>
          <w:sz w:val="32"/>
          <w:szCs w:val="32"/>
        </w:rPr>
        <w:t>（</w:t>
      </w:r>
      <w:r w:rsidR="00673D79" w:rsidRPr="00673D79">
        <w:rPr>
          <w:rFonts w:ascii="楷体" w:eastAsia="楷体" w:hAnsi="楷体" w:hint="eastAsia"/>
          <w:sz w:val="32"/>
          <w:szCs w:val="32"/>
        </w:rPr>
        <w:t>送审</w:t>
      </w:r>
      <w:r w:rsidRPr="00673D79">
        <w:rPr>
          <w:rFonts w:ascii="楷体" w:eastAsia="楷体" w:hAnsi="楷体" w:hint="eastAsia"/>
          <w:sz w:val="32"/>
          <w:szCs w:val="32"/>
        </w:rPr>
        <w:t>稿）</w:t>
      </w:r>
    </w:p>
    <w:p w:rsidR="00477DA3" w:rsidRDefault="00477DA3" w:rsidP="00673D79">
      <w:pPr>
        <w:kinsoku/>
        <w:overflowPunct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77DA3" w:rsidRDefault="00D75D77" w:rsidP="00673D79">
      <w:pPr>
        <w:kinsoku/>
        <w:overflowPunct w:val="0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为加快促进我市旅游业高质量发展，根据市政府《关于加快促进旅游业高质量发展的实施意见》精神，制定如下政策举措。</w:t>
      </w:r>
    </w:p>
    <w:p w:rsidR="00477DA3" w:rsidRDefault="00D75D77" w:rsidP="00673D79">
      <w:pPr>
        <w:kinsoku/>
        <w:overflowPunct w:val="0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73D79">
        <w:rPr>
          <w:rFonts w:ascii="黑体" w:eastAsia="黑体" w:hAnsi="黑体" w:hint="eastAsia"/>
          <w:sz w:val="32"/>
          <w:szCs w:val="32"/>
        </w:rPr>
        <w:t>一、推进旅游重大项目建设。</w:t>
      </w:r>
      <w:r>
        <w:rPr>
          <w:rFonts w:ascii="仿宋_GB2312" w:eastAsia="仿宋_GB2312" w:hAnsi="仿宋_GB2312" w:cs="仿宋_GB2312" w:hint="eastAsia"/>
          <w:sz w:val="32"/>
          <w:szCs w:val="32"/>
        </w:rPr>
        <w:t>对重点项目建设，</w:t>
      </w:r>
      <w:r>
        <w:rPr>
          <w:rFonts w:ascii="仿宋" w:eastAsia="仿宋" w:hAnsi="仿宋" w:cs="仿宋" w:hint="eastAsia"/>
          <w:sz w:val="32"/>
          <w:szCs w:val="32"/>
        </w:rPr>
        <w:t>在土地供应、资金补助等方面予以重点支持</w:t>
      </w:r>
      <w:r>
        <w:rPr>
          <w:rFonts w:ascii="仿宋" w:eastAsia="仿宋" w:hAnsi="仿宋" w:cs="仿宋"/>
          <w:sz w:val="32"/>
          <w:szCs w:val="32"/>
          <w:lang w:val="en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并积极帮助指导省市重大项目申报工作。</w:t>
      </w:r>
      <w:r>
        <w:rPr>
          <w:rFonts w:ascii="仿宋" w:eastAsia="仿宋" w:hAnsi="仿宋" w:hint="eastAsia"/>
          <w:sz w:val="32"/>
          <w:szCs w:val="32"/>
        </w:rPr>
        <w:t>对投资总额超过5000万元、建设期一年以上（含），且列入省级、市级重大项目库的旅游项目，符合一定标准的，给予最高300万元</w:t>
      </w:r>
      <w:r w:rsidR="00937658">
        <w:rPr>
          <w:rFonts w:ascii="仿宋" w:eastAsia="仿宋" w:hAnsi="仿宋" w:hint="eastAsia"/>
          <w:sz w:val="32"/>
          <w:szCs w:val="32"/>
        </w:rPr>
        <w:t>补助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77DA3" w:rsidRDefault="00D75D77" w:rsidP="00673D79">
      <w:pPr>
        <w:kinsoku/>
        <w:overflowPunct w:val="0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73D79">
        <w:rPr>
          <w:rFonts w:ascii="黑体" w:eastAsia="黑体" w:hAnsi="黑体" w:hint="eastAsia"/>
          <w:sz w:val="32"/>
          <w:szCs w:val="32"/>
        </w:rPr>
        <w:t>二、加大旅游项目招引力度。</w:t>
      </w:r>
      <w:r>
        <w:rPr>
          <w:rFonts w:ascii="仿宋" w:eastAsia="仿宋" w:hAnsi="仿宋" w:hint="eastAsia"/>
          <w:sz w:val="32"/>
          <w:szCs w:val="32"/>
        </w:rPr>
        <w:t>鼓励引进世界</w:t>
      </w:r>
      <w:proofErr w:type="gramStart"/>
      <w:r>
        <w:rPr>
          <w:rFonts w:ascii="仿宋" w:eastAsia="仿宋" w:hAnsi="仿宋" w:hint="eastAsia"/>
          <w:sz w:val="32"/>
          <w:szCs w:val="32"/>
        </w:rPr>
        <w:t>级主题</w:t>
      </w:r>
      <w:proofErr w:type="gramEnd"/>
      <w:r>
        <w:rPr>
          <w:rFonts w:ascii="仿宋" w:eastAsia="仿宋" w:hAnsi="仿宋" w:hint="eastAsia"/>
          <w:sz w:val="32"/>
          <w:szCs w:val="32"/>
        </w:rPr>
        <w:t>公园品牌、国际</w:t>
      </w:r>
      <w:proofErr w:type="gramStart"/>
      <w:r>
        <w:rPr>
          <w:rFonts w:ascii="仿宋" w:eastAsia="仿宋" w:hAnsi="仿宋" w:hint="eastAsia"/>
          <w:sz w:val="32"/>
          <w:szCs w:val="32"/>
        </w:rPr>
        <w:t>知名文旅</w:t>
      </w:r>
      <w:proofErr w:type="gramEnd"/>
      <w:r>
        <w:rPr>
          <w:rFonts w:ascii="仿宋" w:eastAsia="仿宋" w:hAnsi="仿宋" w:hint="eastAsia"/>
          <w:sz w:val="32"/>
          <w:szCs w:val="32"/>
        </w:rPr>
        <w:t>IP项目，对引进投资5亿元以上且实际完成投资1亿元以上，符合一定标准的，择优给予</w:t>
      </w:r>
      <w:r w:rsidR="002B5BB2">
        <w:rPr>
          <w:rFonts w:ascii="仿宋" w:eastAsia="仿宋" w:hAnsi="仿宋" w:hint="eastAsia"/>
          <w:sz w:val="32"/>
          <w:szCs w:val="32"/>
        </w:rPr>
        <w:t>最高</w:t>
      </w:r>
      <w:r>
        <w:rPr>
          <w:rFonts w:ascii="仿宋" w:eastAsia="仿宋" w:hAnsi="仿宋" w:hint="eastAsia"/>
          <w:sz w:val="32"/>
          <w:szCs w:val="32"/>
        </w:rPr>
        <w:t>300万元资金扶持。</w:t>
      </w:r>
    </w:p>
    <w:p w:rsidR="00477DA3" w:rsidRPr="002B5BB2" w:rsidRDefault="00D75D77" w:rsidP="00673D79">
      <w:pPr>
        <w:kinsoku/>
        <w:overflowPunct w:val="0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73D79">
        <w:rPr>
          <w:rFonts w:ascii="黑体" w:eastAsia="黑体" w:hAnsi="黑体" w:hint="eastAsia"/>
          <w:sz w:val="32"/>
          <w:szCs w:val="32"/>
        </w:rPr>
        <w:t>三、推动旅游</w:t>
      </w:r>
      <w:r w:rsidR="00BF429A" w:rsidRPr="00673D79">
        <w:rPr>
          <w:rFonts w:ascii="黑体" w:eastAsia="黑体" w:hAnsi="黑体" w:hint="eastAsia"/>
          <w:sz w:val="32"/>
          <w:szCs w:val="32"/>
        </w:rPr>
        <w:t>业提质</w:t>
      </w:r>
      <w:r w:rsidRPr="00673D79">
        <w:rPr>
          <w:rFonts w:ascii="黑体" w:eastAsia="黑体" w:hAnsi="黑体" w:hint="eastAsia"/>
          <w:sz w:val="32"/>
          <w:szCs w:val="32"/>
        </w:rPr>
        <w:t>升级。</w:t>
      </w:r>
      <w:r>
        <w:rPr>
          <w:rFonts w:ascii="仿宋" w:eastAsia="仿宋" w:hAnsi="仿宋" w:hint="eastAsia"/>
          <w:sz w:val="32"/>
          <w:szCs w:val="32"/>
        </w:rPr>
        <w:t>对成功创建国家5A级旅游景区、国家级旅游度假区的给予100</w:t>
      </w:r>
      <w:r w:rsidR="00BB5A59">
        <w:rPr>
          <w:rFonts w:ascii="仿宋" w:eastAsia="仿宋" w:hAnsi="仿宋" w:hint="eastAsia"/>
          <w:sz w:val="32"/>
          <w:szCs w:val="32"/>
        </w:rPr>
        <w:t>万元一次性补助。</w:t>
      </w:r>
      <w:r w:rsidR="00BF429A">
        <w:rPr>
          <w:rFonts w:ascii="仿宋" w:eastAsia="仿宋" w:hAnsi="仿宋" w:hint="eastAsia"/>
          <w:sz w:val="32"/>
          <w:szCs w:val="32"/>
        </w:rPr>
        <w:t>新评为国家五星级饭店，给予50万元一次性补助；新评为国家级金</w:t>
      </w:r>
      <w:proofErr w:type="gramStart"/>
      <w:r w:rsidR="00BF429A">
        <w:rPr>
          <w:rFonts w:ascii="仿宋" w:eastAsia="仿宋" w:hAnsi="仿宋" w:hint="eastAsia"/>
          <w:sz w:val="32"/>
          <w:szCs w:val="32"/>
        </w:rPr>
        <w:t>树叶级</w:t>
      </w:r>
      <w:proofErr w:type="gramEnd"/>
      <w:r w:rsidR="00BF429A">
        <w:rPr>
          <w:rFonts w:ascii="仿宋" w:eastAsia="仿宋" w:hAnsi="仿宋" w:hint="eastAsia"/>
          <w:sz w:val="32"/>
          <w:szCs w:val="32"/>
        </w:rPr>
        <w:t>绿色旅游饭店、国家级</w:t>
      </w:r>
      <w:proofErr w:type="gramStart"/>
      <w:r w:rsidR="00BF429A">
        <w:rPr>
          <w:rFonts w:ascii="仿宋" w:eastAsia="仿宋" w:hAnsi="仿宋" w:hint="eastAsia"/>
          <w:sz w:val="32"/>
          <w:szCs w:val="32"/>
        </w:rPr>
        <w:t>金鼎级文化</w:t>
      </w:r>
      <w:proofErr w:type="gramEnd"/>
      <w:r w:rsidR="00BF429A">
        <w:rPr>
          <w:rFonts w:ascii="仿宋" w:eastAsia="仿宋" w:hAnsi="仿宋" w:hint="eastAsia"/>
          <w:sz w:val="32"/>
          <w:szCs w:val="32"/>
        </w:rPr>
        <w:t>主题旅游饭店，给予最高30万元一次性补助；</w:t>
      </w:r>
      <w:r w:rsidR="00207F4F">
        <w:rPr>
          <w:rFonts w:ascii="仿宋" w:eastAsia="仿宋" w:hAnsi="仿宋" w:hint="eastAsia"/>
          <w:sz w:val="32"/>
          <w:szCs w:val="32"/>
        </w:rPr>
        <w:t>新评为国家、省</w:t>
      </w:r>
      <w:r w:rsidR="00A26DAB">
        <w:rPr>
          <w:rFonts w:ascii="仿宋" w:eastAsia="仿宋" w:hAnsi="仿宋" w:hint="eastAsia"/>
          <w:sz w:val="32"/>
          <w:szCs w:val="32"/>
        </w:rPr>
        <w:t>、市级</w:t>
      </w:r>
      <w:r w:rsidR="00207F4F">
        <w:rPr>
          <w:rFonts w:ascii="仿宋" w:eastAsia="仿宋" w:hAnsi="仿宋" w:hint="eastAsia"/>
          <w:sz w:val="32"/>
          <w:szCs w:val="32"/>
        </w:rPr>
        <w:t>等级民宿的，给予最高20万元一次性补助</w:t>
      </w:r>
      <w:r w:rsidR="00BF429A">
        <w:rPr>
          <w:rFonts w:ascii="仿宋" w:eastAsia="仿宋" w:hAnsi="仿宋" w:hint="eastAsia"/>
          <w:sz w:val="32"/>
          <w:szCs w:val="32"/>
        </w:rPr>
        <w:t>。</w:t>
      </w:r>
      <w:r w:rsidR="00BF429A" w:rsidRPr="005B2EA8">
        <w:rPr>
          <w:rFonts w:ascii="仿宋" w:eastAsia="仿宋" w:hAnsi="仿宋" w:hint="eastAsia"/>
          <w:sz w:val="32"/>
          <w:szCs w:val="32"/>
        </w:rPr>
        <w:t>对</w:t>
      </w:r>
      <w:r w:rsidR="002B5BB2">
        <w:rPr>
          <w:rFonts w:ascii="仿宋" w:eastAsia="仿宋" w:hAnsi="仿宋" w:hint="eastAsia"/>
          <w:sz w:val="32"/>
          <w:szCs w:val="32"/>
        </w:rPr>
        <w:t>新评定</w:t>
      </w:r>
      <w:r w:rsidR="00BF429A" w:rsidRPr="005B2EA8">
        <w:rPr>
          <w:rFonts w:ascii="仿宋" w:eastAsia="仿宋" w:hAnsi="仿宋" w:hint="eastAsia"/>
          <w:sz w:val="32"/>
          <w:szCs w:val="32"/>
        </w:rPr>
        <w:t>五星级、四星级旅行社，分别给予20万元、10万元</w:t>
      </w:r>
      <w:r w:rsidR="002B5BB2">
        <w:rPr>
          <w:rFonts w:ascii="仿宋" w:eastAsia="仿宋" w:hAnsi="仿宋" w:hint="eastAsia"/>
          <w:sz w:val="32"/>
          <w:szCs w:val="32"/>
        </w:rPr>
        <w:t>一次性</w:t>
      </w:r>
      <w:r w:rsidR="002B5BB2" w:rsidRPr="005B2EA8">
        <w:rPr>
          <w:rFonts w:ascii="仿宋" w:eastAsia="仿宋" w:hAnsi="仿宋" w:hint="eastAsia"/>
          <w:sz w:val="32"/>
          <w:szCs w:val="32"/>
        </w:rPr>
        <w:t>补助</w:t>
      </w:r>
      <w:r w:rsidR="00BF429A" w:rsidRPr="005B2EA8">
        <w:rPr>
          <w:rFonts w:ascii="仿宋" w:eastAsia="仿宋" w:hAnsi="仿宋" w:hint="eastAsia"/>
          <w:sz w:val="32"/>
          <w:szCs w:val="32"/>
        </w:rPr>
        <w:t>。</w:t>
      </w:r>
      <w:r w:rsidR="00207F4F">
        <w:rPr>
          <w:rFonts w:ascii="仿宋" w:eastAsia="仿宋" w:hAnsi="仿宋" w:hint="eastAsia"/>
          <w:sz w:val="32"/>
          <w:szCs w:val="32"/>
        </w:rPr>
        <w:t>对旅游业</w:t>
      </w:r>
      <w:r w:rsidR="00BF429A" w:rsidRPr="002B5BB2">
        <w:rPr>
          <w:rFonts w:ascii="仿宋" w:eastAsia="仿宋" w:hAnsi="仿宋" w:hint="eastAsia"/>
          <w:sz w:val="32"/>
          <w:szCs w:val="32"/>
        </w:rPr>
        <w:t>“微改造、精提升”建设项目</w:t>
      </w:r>
      <w:r w:rsidR="00207F4F">
        <w:rPr>
          <w:rFonts w:ascii="仿宋" w:eastAsia="仿宋" w:hAnsi="仿宋" w:hint="eastAsia"/>
          <w:sz w:val="32"/>
          <w:szCs w:val="32"/>
        </w:rPr>
        <w:t>，</w:t>
      </w:r>
      <w:r w:rsidR="00BF429A" w:rsidRPr="002B5BB2">
        <w:rPr>
          <w:rFonts w:ascii="仿宋" w:eastAsia="仿宋" w:hAnsi="仿宋" w:hint="eastAsia"/>
          <w:sz w:val="32"/>
          <w:szCs w:val="32"/>
        </w:rPr>
        <w:t>投资额高于</w:t>
      </w:r>
      <w:r w:rsidR="00BF429A" w:rsidRPr="002B5BB2">
        <w:rPr>
          <w:rFonts w:ascii="仿宋" w:eastAsia="仿宋" w:hAnsi="仿宋"/>
          <w:sz w:val="32"/>
          <w:szCs w:val="32"/>
        </w:rPr>
        <w:t>100</w:t>
      </w:r>
      <w:r w:rsidR="00BF429A" w:rsidRPr="002B5BB2">
        <w:rPr>
          <w:rFonts w:ascii="仿宋" w:eastAsia="仿宋" w:hAnsi="仿宋" w:hint="eastAsia"/>
          <w:sz w:val="32"/>
          <w:szCs w:val="32"/>
        </w:rPr>
        <w:t>万元的，给予</w:t>
      </w:r>
      <w:r w:rsidR="00937658">
        <w:rPr>
          <w:rFonts w:ascii="仿宋" w:eastAsia="仿宋" w:hAnsi="仿宋" w:hint="eastAsia"/>
          <w:sz w:val="32"/>
          <w:szCs w:val="32"/>
        </w:rPr>
        <w:t>不超过实际投资</w:t>
      </w:r>
      <w:r w:rsidR="00BF429A" w:rsidRPr="002B5BB2">
        <w:rPr>
          <w:rFonts w:ascii="仿宋" w:eastAsia="仿宋" w:hAnsi="仿宋"/>
          <w:sz w:val="32"/>
          <w:szCs w:val="32"/>
        </w:rPr>
        <w:t>30%</w:t>
      </w:r>
      <w:r w:rsidR="00BF429A" w:rsidRPr="002B5BB2">
        <w:rPr>
          <w:rFonts w:ascii="仿宋" w:eastAsia="仿宋" w:hAnsi="仿宋" w:hint="eastAsia"/>
          <w:sz w:val="32"/>
          <w:szCs w:val="32"/>
        </w:rPr>
        <w:t>，最高</w:t>
      </w:r>
      <w:r w:rsidR="00BF429A" w:rsidRPr="002B5BB2">
        <w:rPr>
          <w:rFonts w:ascii="仿宋" w:eastAsia="仿宋" w:hAnsi="仿宋"/>
          <w:sz w:val="32"/>
          <w:szCs w:val="32"/>
        </w:rPr>
        <w:t>100</w:t>
      </w:r>
      <w:r w:rsidR="00BF429A" w:rsidRPr="002B5BB2">
        <w:rPr>
          <w:rFonts w:ascii="仿宋" w:eastAsia="仿宋" w:hAnsi="仿宋" w:hint="eastAsia"/>
          <w:sz w:val="32"/>
          <w:szCs w:val="32"/>
        </w:rPr>
        <w:t>万元</w:t>
      </w:r>
      <w:r w:rsidR="00937658">
        <w:rPr>
          <w:rFonts w:ascii="仿宋" w:eastAsia="仿宋" w:hAnsi="仿宋" w:hint="eastAsia"/>
          <w:sz w:val="32"/>
          <w:szCs w:val="32"/>
        </w:rPr>
        <w:t>补助</w:t>
      </w:r>
      <w:r w:rsidR="00207F4F">
        <w:rPr>
          <w:rFonts w:ascii="仿宋" w:eastAsia="仿宋" w:hAnsi="仿宋" w:hint="eastAsia"/>
          <w:sz w:val="32"/>
          <w:szCs w:val="32"/>
        </w:rPr>
        <w:t>。</w:t>
      </w:r>
    </w:p>
    <w:p w:rsidR="00770103" w:rsidRDefault="00BF429A" w:rsidP="00673D79">
      <w:pPr>
        <w:kinsoku/>
        <w:overflowPunct w:val="0"/>
        <w:spacing w:line="600" w:lineRule="exact"/>
        <w:ind w:firstLineChars="200" w:firstLine="640"/>
        <w:jc w:val="both"/>
        <w:rPr>
          <w:rFonts w:ascii="仿宋_GB2312" w:eastAsia="仿宋_GB2312" w:hAnsi="仿宋_GB2312"/>
          <w:sz w:val="32"/>
          <w:szCs w:val="32"/>
        </w:rPr>
      </w:pPr>
      <w:r w:rsidRPr="00673D79"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D75D77" w:rsidRPr="00673D79">
        <w:rPr>
          <w:rFonts w:ascii="黑体" w:eastAsia="黑体" w:hAnsi="黑体" w:hint="eastAsia"/>
          <w:sz w:val="32"/>
          <w:szCs w:val="32"/>
        </w:rPr>
        <w:t>、打造特色休闲产品。</w:t>
      </w:r>
      <w:r w:rsidR="00D75D77">
        <w:rPr>
          <w:rFonts w:ascii="仿宋_GB2312" w:eastAsia="仿宋_GB2312" w:hAnsi="仿宋_GB2312" w:hint="eastAsia"/>
          <w:sz w:val="32"/>
          <w:szCs w:val="32"/>
        </w:rPr>
        <w:t>扶持茶叶、丝绸、工艺美术、中药等历史经典产业</w:t>
      </w:r>
      <w:r w:rsidR="00EC2565">
        <w:rPr>
          <w:rFonts w:ascii="仿宋_GB2312" w:eastAsia="仿宋_GB2312" w:hAnsi="仿宋_GB2312" w:hint="eastAsia"/>
          <w:sz w:val="32"/>
          <w:szCs w:val="32"/>
        </w:rPr>
        <w:t>，</w:t>
      </w:r>
      <w:r w:rsidR="00403C48">
        <w:rPr>
          <w:rFonts w:ascii="仿宋_GB2312" w:eastAsia="仿宋_GB2312" w:hAnsi="仿宋_GB2312" w:hint="eastAsia"/>
          <w:color w:val="auto"/>
          <w:sz w:val="32"/>
          <w:szCs w:val="32"/>
        </w:rPr>
        <w:t>城市</w:t>
      </w:r>
      <w:r w:rsidR="00770103">
        <w:rPr>
          <w:rFonts w:ascii="仿宋_GB2312" w:eastAsia="仿宋_GB2312" w:hAnsi="仿宋_GB2312" w:hint="eastAsia"/>
          <w:color w:val="auto"/>
          <w:sz w:val="32"/>
          <w:szCs w:val="32"/>
        </w:rPr>
        <w:t>文化</w:t>
      </w:r>
      <w:r w:rsidR="00EC2565">
        <w:rPr>
          <w:rFonts w:ascii="仿宋_GB2312" w:eastAsia="仿宋_GB2312" w:hAnsi="仿宋_GB2312" w:hint="eastAsia"/>
          <w:color w:val="auto"/>
          <w:sz w:val="32"/>
          <w:szCs w:val="32"/>
        </w:rPr>
        <w:t>、运动休闲、现代时尚等</w:t>
      </w:r>
      <w:r w:rsidR="00770103">
        <w:rPr>
          <w:rFonts w:ascii="仿宋_GB2312" w:eastAsia="仿宋_GB2312" w:hAnsi="仿宋_GB2312" w:hint="eastAsia"/>
          <w:color w:val="auto"/>
          <w:sz w:val="32"/>
          <w:szCs w:val="32"/>
        </w:rPr>
        <w:t>资源转化的新业态、新产品</w:t>
      </w:r>
      <w:r w:rsidR="00EC2565">
        <w:rPr>
          <w:rFonts w:ascii="仿宋_GB2312" w:eastAsia="仿宋_GB2312" w:hAnsi="仿宋_GB2312" w:hint="eastAsia"/>
          <w:color w:val="auto"/>
          <w:sz w:val="32"/>
          <w:szCs w:val="32"/>
        </w:rPr>
        <w:t>和</w:t>
      </w:r>
      <w:r w:rsidR="00770103">
        <w:rPr>
          <w:rFonts w:ascii="仿宋" w:eastAsia="仿宋" w:hAnsi="仿宋" w:hint="eastAsia"/>
          <w:sz w:val="32"/>
          <w:szCs w:val="32"/>
        </w:rPr>
        <w:t>智能交互的沉浸式旅游体验项目，</w:t>
      </w:r>
      <w:r w:rsidR="00937658">
        <w:rPr>
          <w:rFonts w:ascii="仿宋_GB2312" w:eastAsia="仿宋_GB2312" w:hAnsi="仿宋_GB2312" w:hint="eastAsia"/>
          <w:sz w:val="32"/>
          <w:szCs w:val="32"/>
        </w:rPr>
        <w:t>达到一定标准并通过申报、评审，给予每个项目不超过实际</w:t>
      </w:r>
      <w:r w:rsidR="00D75D77">
        <w:rPr>
          <w:rFonts w:ascii="仿宋_GB2312" w:eastAsia="仿宋_GB2312" w:hAnsi="仿宋_GB2312" w:hint="eastAsia"/>
          <w:sz w:val="32"/>
          <w:szCs w:val="32"/>
        </w:rPr>
        <w:t>投资20%，最高100万</w:t>
      </w:r>
      <w:r w:rsidR="00937658">
        <w:rPr>
          <w:rFonts w:ascii="仿宋_GB2312" w:eastAsia="仿宋_GB2312" w:hAnsi="仿宋_GB2312" w:hint="eastAsia"/>
          <w:sz w:val="32"/>
          <w:szCs w:val="32"/>
        </w:rPr>
        <w:t>元</w:t>
      </w:r>
      <w:r w:rsidR="00D75D77">
        <w:rPr>
          <w:rFonts w:ascii="仿宋_GB2312" w:eastAsia="仿宋_GB2312" w:hAnsi="仿宋_GB2312" w:hint="eastAsia"/>
          <w:sz w:val="32"/>
          <w:szCs w:val="32"/>
        </w:rPr>
        <w:t>资金扶持。</w:t>
      </w:r>
      <w:r w:rsidR="00FD2C85" w:rsidRPr="00FD2C85">
        <w:rPr>
          <w:rFonts w:ascii="仿宋_GB2312" w:eastAsia="仿宋_GB2312" w:hAnsi="仿宋_GB2312" w:hint="eastAsia"/>
          <w:sz w:val="32"/>
          <w:szCs w:val="32"/>
        </w:rPr>
        <w:t>对成功创建国家级、</w:t>
      </w:r>
      <w:proofErr w:type="gramStart"/>
      <w:r w:rsidR="00FD2C85" w:rsidRPr="00FD2C85">
        <w:rPr>
          <w:rFonts w:ascii="仿宋_GB2312" w:eastAsia="仿宋_GB2312" w:hAnsi="仿宋_GB2312" w:hint="eastAsia"/>
          <w:sz w:val="32"/>
          <w:szCs w:val="32"/>
        </w:rPr>
        <w:t>省级文旅融合</w:t>
      </w:r>
      <w:proofErr w:type="gramEnd"/>
      <w:r w:rsidR="00FD2C85" w:rsidRPr="00FD2C85">
        <w:rPr>
          <w:rFonts w:ascii="仿宋_GB2312" w:eastAsia="仿宋_GB2312" w:hAnsi="仿宋_GB2312" w:hint="eastAsia"/>
          <w:sz w:val="32"/>
          <w:szCs w:val="32"/>
        </w:rPr>
        <w:t>发展示范区、旅游休闲街区，分别给予 50 万元、30万元一次性补助。对成功创建</w:t>
      </w:r>
      <w:proofErr w:type="gramStart"/>
      <w:r w:rsidR="00FD2C85" w:rsidRPr="00FD2C85">
        <w:rPr>
          <w:rFonts w:ascii="仿宋_GB2312" w:eastAsia="仿宋_GB2312" w:hAnsi="仿宋_GB2312" w:hint="eastAsia"/>
          <w:sz w:val="32"/>
          <w:szCs w:val="32"/>
        </w:rPr>
        <w:t>宋韵杭式生活</w:t>
      </w:r>
      <w:proofErr w:type="gramEnd"/>
      <w:r w:rsidR="00FD2C85" w:rsidRPr="00FD2C85">
        <w:rPr>
          <w:rFonts w:ascii="仿宋_GB2312" w:eastAsia="仿宋_GB2312" w:hAnsi="仿宋_GB2312" w:hint="eastAsia"/>
          <w:sz w:val="32"/>
          <w:szCs w:val="32"/>
        </w:rPr>
        <w:t>体验基地、体验点，分别给予 20万元、10万元一次性补助。</w:t>
      </w:r>
    </w:p>
    <w:p w:rsidR="00477DA3" w:rsidRDefault="00850082" w:rsidP="00673D79">
      <w:pPr>
        <w:kinsoku/>
        <w:overflowPunct w:val="0"/>
        <w:spacing w:line="600" w:lineRule="exact"/>
        <w:ind w:firstLineChars="200" w:firstLine="640"/>
        <w:jc w:val="both"/>
        <w:rPr>
          <w:rFonts w:ascii="仿宋_GB2312" w:eastAsia="仿宋_GB2312" w:hAnsi="仿宋_GB2312"/>
          <w:sz w:val="32"/>
          <w:szCs w:val="32"/>
        </w:rPr>
      </w:pPr>
      <w:r w:rsidRPr="00673D79">
        <w:rPr>
          <w:rFonts w:ascii="黑体" w:eastAsia="黑体" w:hAnsi="黑体" w:hint="eastAsia"/>
          <w:sz w:val="32"/>
          <w:szCs w:val="32"/>
        </w:rPr>
        <w:t>五、</w:t>
      </w:r>
      <w:proofErr w:type="gramStart"/>
      <w:r w:rsidR="00BB5A59" w:rsidRPr="00673D79">
        <w:rPr>
          <w:rFonts w:ascii="黑体" w:eastAsia="黑体" w:hAnsi="黑体" w:hint="eastAsia"/>
          <w:sz w:val="32"/>
          <w:szCs w:val="32"/>
        </w:rPr>
        <w:t>培育</w:t>
      </w:r>
      <w:r w:rsidRPr="00673D79">
        <w:rPr>
          <w:rFonts w:ascii="黑体" w:eastAsia="黑体" w:hAnsi="黑体" w:hint="eastAsia"/>
          <w:sz w:val="32"/>
          <w:szCs w:val="32"/>
        </w:rPr>
        <w:t>文旅融合</w:t>
      </w:r>
      <w:proofErr w:type="gramEnd"/>
      <w:r w:rsidRPr="00673D79">
        <w:rPr>
          <w:rFonts w:ascii="黑体" w:eastAsia="黑体" w:hAnsi="黑体" w:hint="eastAsia"/>
          <w:sz w:val="32"/>
          <w:szCs w:val="32"/>
        </w:rPr>
        <w:t>产品。</w:t>
      </w:r>
      <w:r w:rsidR="00FD2C85" w:rsidRPr="00FD2C85">
        <w:rPr>
          <w:rFonts w:ascii="仿宋_GB2312" w:eastAsia="仿宋_GB2312" w:hAnsi="仿宋_GB2312" w:hint="eastAsia"/>
          <w:sz w:val="32"/>
          <w:szCs w:val="32"/>
        </w:rPr>
        <w:t>培育城市演艺新业态，被评定为市级示范演艺新空间、金牌演艺新空间的，分别给予15万元、30万元一次性补助；被评定为城市艺舞台街头演艺示范项目的，给予10万元一次性补助。</w:t>
      </w:r>
      <w:r w:rsidR="00FD2C85">
        <w:rPr>
          <w:rFonts w:ascii="仿宋_GB2312" w:eastAsia="仿宋_GB2312" w:hAnsi="仿宋_GB2312" w:hint="eastAsia"/>
          <w:sz w:val="32"/>
          <w:szCs w:val="32"/>
        </w:rPr>
        <w:t>支持</w:t>
      </w:r>
      <w:r w:rsidR="00FD2C85" w:rsidRPr="007D301A">
        <w:rPr>
          <w:rFonts w:ascii="仿宋_GB2312" w:eastAsia="仿宋_GB2312" w:hAnsi="仿宋_GB2312" w:hint="eastAsia"/>
          <w:sz w:val="32"/>
          <w:szCs w:val="32"/>
        </w:rPr>
        <w:t>非物质文化遗产转化为高品质文化休闲产品，对市级以上非物质文化遗产代表性名录和非物质文化遗产保护</w:t>
      </w:r>
      <w:r w:rsidR="00FD2C85">
        <w:rPr>
          <w:rFonts w:ascii="仿宋_GB2312" w:eastAsia="仿宋_GB2312" w:hAnsi="仿宋_GB2312" w:hint="eastAsia"/>
          <w:sz w:val="32"/>
          <w:szCs w:val="32"/>
        </w:rPr>
        <w:t>传承</w:t>
      </w:r>
      <w:r w:rsidR="00FD2C85" w:rsidRPr="007D301A">
        <w:rPr>
          <w:rFonts w:ascii="仿宋_GB2312" w:eastAsia="仿宋_GB2312" w:hAnsi="仿宋_GB2312" w:hint="eastAsia"/>
          <w:sz w:val="32"/>
          <w:szCs w:val="32"/>
        </w:rPr>
        <w:t>载体给予一次性补助，被评为市级非物质文化遗产代表性传承人的给予补助。</w:t>
      </w:r>
    </w:p>
    <w:p w:rsidR="00477DA3" w:rsidRPr="00EC2565" w:rsidRDefault="00850082" w:rsidP="00673D79">
      <w:pPr>
        <w:kinsoku/>
        <w:overflowPunct w:val="0"/>
        <w:spacing w:line="600" w:lineRule="exact"/>
        <w:ind w:firstLineChars="200" w:firstLine="640"/>
        <w:jc w:val="both"/>
        <w:rPr>
          <w:rFonts w:ascii="仿宋_GB2312" w:eastAsia="仿宋_GB2312" w:hAnsi="仿宋_GB2312"/>
          <w:color w:val="FF0000"/>
          <w:sz w:val="32"/>
          <w:szCs w:val="32"/>
        </w:rPr>
      </w:pPr>
      <w:r w:rsidRPr="00673D79">
        <w:rPr>
          <w:rFonts w:ascii="黑体" w:eastAsia="黑体" w:hAnsi="黑体" w:hint="eastAsia"/>
          <w:sz w:val="32"/>
          <w:szCs w:val="32"/>
        </w:rPr>
        <w:t>六</w:t>
      </w:r>
      <w:r w:rsidR="007D301A" w:rsidRPr="00673D79">
        <w:rPr>
          <w:rFonts w:ascii="黑体" w:eastAsia="黑体" w:hAnsi="黑体" w:hint="eastAsia"/>
          <w:sz w:val="32"/>
          <w:szCs w:val="32"/>
        </w:rPr>
        <w:t>、促进</w:t>
      </w:r>
      <w:proofErr w:type="gramStart"/>
      <w:r w:rsidRPr="00673D79">
        <w:rPr>
          <w:rFonts w:ascii="黑体" w:eastAsia="黑体" w:hAnsi="黑体" w:hint="eastAsia"/>
          <w:sz w:val="32"/>
          <w:szCs w:val="32"/>
        </w:rPr>
        <w:t>夜间文旅</w:t>
      </w:r>
      <w:r w:rsidR="00D75D77" w:rsidRPr="00673D79">
        <w:rPr>
          <w:rFonts w:ascii="黑体" w:eastAsia="黑体" w:hAnsi="黑体" w:hint="eastAsia"/>
          <w:sz w:val="32"/>
          <w:szCs w:val="32"/>
        </w:rPr>
        <w:t>消费</w:t>
      </w:r>
      <w:proofErr w:type="gramEnd"/>
      <w:r w:rsidR="00D75D77" w:rsidRPr="00673D79">
        <w:rPr>
          <w:rFonts w:ascii="黑体" w:eastAsia="黑体" w:hAnsi="黑体" w:hint="eastAsia"/>
          <w:sz w:val="32"/>
          <w:szCs w:val="32"/>
        </w:rPr>
        <w:t>。</w:t>
      </w:r>
      <w:r w:rsidR="00D75D77">
        <w:rPr>
          <w:rFonts w:ascii="仿宋_GB2312" w:eastAsia="仿宋_GB2312" w:hAnsi="仿宋_GB2312" w:hint="eastAsia"/>
          <w:sz w:val="32"/>
          <w:szCs w:val="32"/>
        </w:rPr>
        <w:t>支持“夜演、夜宴、夜宿、夜游、夜购、夜娱、夜读”等夜间休闲消费产品和活动</w:t>
      </w:r>
      <w:r w:rsidR="00937658">
        <w:rPr>
          <w:rFonts w:ascii="仿宋_GB2312" w:eastAsia="仿宋_GB2312" w:hAnsi="仿宋_GB2312" w:hint="eastAsia"/>
          <w:sz w:val="32"/>
          <w:szCs w:val="32"/>
        </w:rPr>
        <w:t>，</w:t>
      </w:r>
      <w:r w:rsidR="00D75D77">
        <w:rPr>
          <w:rFonts w:ascii="仿宋_GB2312" w:eastAsia="仿宋_GB2312" w:hAnsi="仿宋_GB2312" w:hint="eastAsia"/>
          <w:sz w:val="32"/>
          <w:szCs w:val="32"/>
        </w:rPr>
        <w:t>达到一定标准并通过申报、评审，给予每个项目</w:t>
      </w:r>
      <w:r w:rsidR="00937658">
        <w:rPr>
          <w:rFonts w:ascii="仿宋_GB2312" w:eastAsia="仿宋_GB2312" w:hAnsi="仿宋_GB2312" w:hint="eastAsia"/>
          <w:sz w:val="32"/>
          <w:szCs w:val="32"/>
        </w:rPr>
        <w:t>不超过实际</w:t>
      </w:r>
      <w:r w:rsidR="00D75D77">
        <w:rPr>
          <w:rFonts w:ascii="仿宋_GB2312" w:eastAsia="仿宋_GB2312" w:hAnsi="仿宋_GB2312" w:hint="eastAsia"/>
          <w:sz w:val="32"/>
          <w:szCs w:val="32"/>
        </w:rPr>
        <w:t>投资20%，最高50万</w:t>
      </w:r>
      <w:r w:rsidR="00937658">
        <w:rPr>
          <w:rFonts w:ascii="仿宋_GB2312" w:eastAsia="仿宋_GB2312" w:hAnsi="仿宋_GB2312" w:hint="eastAsia"/>
          <w:sz w:val="32"/>
          <w:szCs w:val="32"/>
        </w:rPr>
        <w:t>元</w:t>
      </w:r>
      <w:r w:rsidR="00D75D77">
        <w:rPr>
          <w:rFonts w:ascii="仿宋_GB2312" w:eastAsia="仿宋_GB2312" w:hAnsi="仿宋_GB2312" w:hint="eastAsia"/>
          <w:sz w:val="32"/>
          <w:szCs w:val="32"/>
        </w:rPr>
        <w:t>资金扶持。</w:t>
      </w:r>
      <w:r w:rsidR="00FD2C85" w:rsidRPr="00FD2C85">
        <w:rPr>
          <w:rFonts w:ascii="仿宋_GB2312" w:eastAsia="仿宋_GB2312" w:hAnsi="仿宋_GB2312" w:hint="eastAsia"/>
          <w:sz w:val="32"/>
          <w:szCs w:val="32"/>
        </w:rPr>
        <w:t>对成功创建国家级、省级文化和旅游夜间消费集聚区，分别给予 50 万元、30万元一次性补助。</w:t>
      </w:r>
      <w:r w:rsidR="00FD2C85">
        <w:rPr>
          <w:rFonts w:ascii="仿宋_GB2312" w:eastAsia="仿宋_GB2312" w:hAnsi="仿宋_GB2312" w:hint="eastAsia"/>
          <w:color w:val="auto"/>
          <w:sz w:val="32"/>
          <w:szCs w:val="32"/>
        </w:rPr>
        <w:t>对成功创建</w:t>
      </w:r>
      <w:proofErr w:type="gramStart"/>
      <w:r w:rsidR="00FD2C85">
        <w:rPr>
          <w:rFonts w:ascii="仿宋_GB2312" w:eastAsia="仿宋_GB2312" w:hAnsi="仿宋_GB2312" w:hint="eastAsia"/>
          <w:color w:val="auto"/>
          <w:sz w:val="32"/>
          <w:szCs w:val="32"/>
        </w:rPr>
        <w:t>省级百</w:t>
      </w:r>
      <w:proofErr w:type="gramEnd"/>
      <w:r w:rsidR="00FD2C85">
        <w:rPr>
          <w:rFonts w:ascii="仿宋_GB2312" w:eastAsia="仿宋_GB2312" w:hAnsi="仿宋_GB2312" w:hint="eastAsia"/>
          <w:color w:val="auto"/>
          <w:sz w:val="32"/>
          <w:szCs w:val="32"/>
        </w:rPr>
        <w:t>县千碗特色小镇、特色街区，分别给予50万元、20万元一次性补助。</w:t>
      </w:r>
    </w:p>
    <w:p w:rsidR="00477DA3" w:rsidRPr="00EC2565" w:rsidRDefault="00850082" w:rsidP="00673D79">
      <w:pPr>
        <w:kinsoku/>
        <w:overflowPunct w:val="0"/>
        <w:spacing w:line="600" w:lineRule="exact"/>
        <w:ind w:firstLineChars="200" w:firstLine="640"/>
        <w:jc w:val="both"/>
        <w:rPr>
          <w:rFonts w:ascii="仿宋_GB2312" w:eastAsia="仿宋_GB2312" w:hAnsi="仿宋_GB2312"/>
          <w:color w:val="auto"/>
          <w:sz w:val="32"/>
          <w:szCs w:val="32"/>
        </w:rPr>
      </w:pPr>
      <w:r w:rsidRPr="00673D79">
        <w:rPr>
          <w:rFonts w:ascii="黑体" w:eastAsia="黑体" w:hAnsi="黑体" w:hint="eastAsia"/>
          <w:sz w:val="32"/>
          <w:szCs w:val="32"/>
        </w:rPr>
        <w:lastRenderedPageBreak/>
        <w:t>七</w:t>
      </w:r>
      <w:r w:rsidR="00D75D77" w:rsidRPr="00673D79">
        <w:rPr>
          <w:rFonts w:ascii="黑体" w:eastAsia="黑体" w:hAnsi="黑体" w:hint="eastAsia"/>
          <w:sz w:val="32"/>
          <w:szCs w:val="32"/>
        </w:rPr>
        <w:t>、支持旅行社引进国际游客。</w:t>
      </w:r>
      <w:r w:rsidR="00D75D77" w:rsidRPr="00EC2565">
        <w:rPr>
          <w:rFonts w:ascii="仿宋_GB2312" w:eastAsia="仿宋_GB2312" w:hAnsi="仿宋_GB2312" w:hint="eastAsia"/>
          <w:color w:val="auto"/>
          <w:sz w:val="32"/>
          <w:szCs w:val="32"/>
        </w:rPr>
        <w:t>对旅行社招徕接待来杭过夜的港澳台地区游客，住宿1晚的按10元/人天补助，住宿2晚的按15元/人天补助，住宿3晚的按20元/人天补助；对旅行社招徕接待来杭过夜的外国游客，住宿1晚的按20元/人天补助，住宿2晚的按30元/人天补助，住宿3晚的按40元/人天补助。</w:t>
      </w:r>
      <w:r w:rsidR="005E198C">
        <w:rPr>
          <w:rFonts w:ascii="仿宋_GB2312" w:eastAsia="仿宋_GB2312" w:hAnsi="仿宋_GB2312" w:hint="eastAsia"/>
          <w:color w:val="auto"/>
          <w:sz w:val="32"/>
          <w:szCs w:val="32"/>
        </w:rPr>
        <w:t>对组织来杭入境旅游包机</w:t>
      </w:r>
      <w:r w:rsidR="0092745D">
        <w:rPr>
          <w:rFonts w:ascii="仿宋_GB2312" w:eastAsia="仿宋_GB2312" w:hAnsi="仿宋_GB2312" w:hint="eastAsia"/>
          <w:color w:val="auto"/>
          <w:sz w:val="32"/>
          <w:szCs w:val="32"/>
        </w:rPr>
        <w:t>每架150人以上的，</w:t>
      </w:r>
      <w:r w:rsidR="005E198C">
        <w:rPr>
          <w:rFonts w:ascii="仿宋_GB2312" w:eastAsia="仿宋_GB2312" w:hAnsi="仿宋_GB2312" w:hint="eastAsia"/>
          <w:color w:val="auto"/>
          <w:sz w:val="32"/>
          <w:szCs w:val="32"/>
        </w:rPr>
        <w:t>给予</w:t>
      </w:r>
      <w:r w:rsidR="0092745D">
        <w:rPr>
          <w:rFonts w:ascii="仿宋_GB2312" w:eastAsia="仿宋_GB2312" w:hAnsi="仿宋_GB2312" w:hint="eastAsia"/>
          <w:color w:val="auto"/>
          <w:sz w:val="32"/>
          <w:szCs w:val="32"/>
        </w:rPr>
        <w:t>每架8万元</w:t>
      </w:r>
      <w:r w:rsidR="005E198C">
        <w:rPr>
          <w:rFonts w:ascii="仿宋_GB2312" w:eastAsia="仿宋_GB2312" w:hAnsi="仿宋_GB2312" w:hint="eastAsia"/>
          <w:color w:val="auto"/>
          <w:sz w:val="32"/>
          <w:szCs w:val="32"/>
        </w:rPr>
        <w:t>补助。</w:t>
      </w:r>
      <w:r w:rsidR="00D75D77" w:rsidRPr="00EC2565">
        <w:rPr>
          <w:rFonts w:ascii="仿宋_GB2312" w:eastAsia="仿宋_GB2312" w:hAnsi="仿宋_GB2312" w:hint="eastAsia"/>
          <w:color w:val="auto"/>
          <w:sz w:val="32"/>
          <w:szCs w:val="32"/>
        </w:rPr>
        <w:t>对旅游企业参加全市统一组织的境外宣传促销活动给予50%的国际机票费用补助。</w:t>
      </w:r>
    </w:p>
    <w:p w:rsidR="00477DA3" w:rsidRPr="00850082" w:rsidRDefault="00850082" w:rsidP="00673D79">
      <w:pPr>
        <w:kinsoku/>
        <w:overflowPunct w:val="0"/>
        <w:spacing w:line="600" w:lineRule="exact"/>
        <w:ind w:firstLineChars="200" w:firstLine="640"/>
        <w:jc w:val="both"/>
        <w:rPr>
          <w:rFonts w:ascii="仿宋_GB2312" w:eastAsia="仿宋_GB2312" w:hAnsi="仿宋_GB2312"/>
          <w:color w:val="auto"/>
          <w:sz w:val="32"/>
          <w:szCs w:val="32"/>
        </w:rPr>
      </w:pPr>
      <w:r w:rsidRPr="00673D79">
        <w:rPr>
          <w:rFonts w:ascii="黑体" w:eastAsia="黑体" w:hAnsi="黑体" w:hint="eastAsia"/>
          <w:sz w:val="32"/>
          <w:szCs w:val="32"/>
        </w:rPr>
        <w:t>八</w:t>
      </w:r>
      <w:r w:rsidR="00D75D77" w:rsidRPr="00673D79">
        <w:rPr>
          <w:rFonts w:ascii="黑体" w:eastAsia="黑体" w:hAnsi="黑体" w:hint="eastAsia"/>
          <w:sz w:val="32"/>
          <w:szCs w:val="32"/>
        </w:rPr>
        <w:t>、提升旅游公共服务。</w:t>
      </w:r>
      <w:r w:rsidR="005E198C">
        <w:rPr>
          <w:rFonts w:ascii="仿宋_GB2312" w:eastAsia="仿宋_GB2312" w:hAnsi="仿宋_GB2312" w:hint="eastAsia"/>
          <w:color w:val="auto"/>
          <w:sz w:val="32"/>
          <w:szCs w:val="32"/>
        </w:rPr>
        <w:t>加快构建高质量、现代</w:t>
      </w:r>
      <w:r w:rsidRPr="00850082">
        <w:rPr>
          <w:rFonts w:ascii="仿宋_GB2312" w:eastAsia="仿宋_GB2312" w:hAnsi="仿宋_GB2312" w:hint="eastAsia"/>
          <w:color w:val="auto"/>
          <w:sz w:val="32"/>
          <w:szCs w:val="32"/>
        </w:rPr>
        <w:t>公共</w:t>
      </w:r>
      <w:proofErr w:type="gramStart"/>
      <w:r w:rsidRPr="00850082">
        <w:rPr>
          <w:rFonts w:ascii="仿宋_GB2312" w:eastAsia="仿宋_GB2312" w:hAnsi="仿宋_GB2312" w:hint="eastAsia"/>
          <w:color w:val="auto"/>
          <w:sz w:val="32"/>
          <w:szCs w:val="32"/>
        </w:rPr>
        <w:t>文旅服务</w:t>
      </w:r>
      <w:proofErr w:type="gramEnd"/>
      <w:r w:rsidRPr="00850082">
        <w:rPr>
          <w:rFonts w:ascii="仿宋_GB2312" w:eastAsia="仿宋_GB2312" w:hAnsi="仿宋_GB2312" w:hint="eastAsia"/>
          <w:color w:val="auto"/>
          <w:sz w:val="32"/>
          <w:szCs w:val="32"/>
        </w:rPr>
        <w:t>体系，</w:t>
      </w:r>
      <w:r w:rsidR="00D75D77" w:rsidRPr="00EC2565">
        <w:rPr>
          <w:rFonts w:ascii="仿宋_GB2312" w:eastAsia="仿宋_GB2312" w:hAnsi="仿宋_GB2312" w:hint="eastAsia"/>
          <w:color w:val="auto"/>
          <w:sz w:val="32"/>
          <w:szCs w:val="32"/>
        </w:rPr>
        <w:t>支持新建或提升改造旅游驿站、旅游厕所、景区停车场、游客中心、自驾车营地等旅游基础设施，按因素分配法给予补助</w:t>
      </w:r>
      <w:r w:rsidR="005529E4">
        <w:rPr>
          <w:rFonts w:ascii="仿宋_GB2312" w:eastAsia="仿宋_GB2312" w:hAnsi="仿宋_GB2312" w:hint="eastAsia"/>
          <w:color w:val="auto"/>
          <w:sz w:val="32"/>
          <w:szCs w:val="32"/>
        </w:rPr>
        <w:t>。对宾馆饭店无障碍设施改造，实际投资达到一定规模，符合市级标准的给予补助</w:t>
      </w:r>
      <w:r w:rsidR="00D75D77" w:rsidRPr="00EC2565">
        <w:rPr>
          <w:rFonts w:ascii="仿宋_GB2312" w:eastAsia="仿宋_GB2312" w:hAnsi="仿宋_GB2312" w:hint="eastAsia"/>
          <w:color w:val="auto"/>
          <w:sz w:val="32"/>
          <w:szCs w:val="32"/>
        </w:rPr>
        <w:t>。</w:t>
      </w:r>
      <w:r w:rsidR="002A64CA" w:rsidRPr="00EC2565">
        <w:rPr>
          <w:rFonts w:ascii="仿宋_GB2312" w:eastAsia="仿宋_GB2312" w:hAnsi="仿宋_GB2312" w:hint="eastAsia"/>
          <w:color w:val="auto"/>
          <w:sz w:val="32"/>
          <w:szCs w:val="32"/>
        </w:rPr>
        <w:t>对西湖景区周边核心区公共自行车</w:t>
      </w:r>
      <w:proofErr w:type="gramStart"/>
      <w:r w:rsidR="002A64CA" w:rsidRPr="00EC2565">
        <w:rPr>
          <w:rFonts w:ascii="仿宋_GB2312" w:eastAsia="仿宋_GB2312" w:hAnsi="仿宋_GB2312" w:hint="eastAsia"/>
          <w:color w:val="auto"/>
          <w:sz w:val="32"/>
          <w:szCs w:val="32"/>
        </w:rPr>
        <w:t>文旅咨询点按照</w:t>
      </w:r>
      <w:proofErr w:type="gramEnd"/>
      <w:r w:rsidR="002A64CA" w:rsidRPr="00EC2565">
        <w:rPr>
          <w:rFonts w:ascii="仿宋_GB2312" w:eastAsia="仿宋_GB2312" w:hAnsi="仿宋_GB2312" w:hint="eastAsia"/>
          <w:color w:val="auto"/>
          <w:sz w:val="32"/>
          <w:szCs w:val="32"/>
        </w:rPr>
        <w:t>每个点每年7万元标准给予补助。</w:t>
      </w:r>
      <w:r>
        <w:rPr>
          <w:rFonts w:ascii="仿宋_GB2312" w:eastAsia="仿宋_GB2312" w:hAnsi="仿宋_GB2312" w:hint="eastAsia"/>
          <w:color w:val="auto"/>
          <w:sz w:val="32"/>
          <w:szCs w:val="32"/>
        </w:rPr>
        <w:t>对市本级</w:t>
      </w:r>
      <w:r w:rsidRPr="00850082">
        <w:rPr>
          <w:rFonts w:ascii="仿宋_GB2312" w:eastAsia="仿宋_GB2312" w:hAnsi="仿宋_GB2312" w:hint="eastAsia"/>
          <w:color w:val="auto"/>
          <w:sz w:val="32"/>
          <w:szCs w:val="32"/>
        </w:rPr>
        <w:t>旅游集散换乘中心，按全年换乘天数、换乘车辆、接待换乘游客等给予补助</w:t>
      </w:r>
      <w:r>
        <w:rPr>
          <w:rFonts w:ascii="仿宋_GB2312" w:eastAsia="仿宋_GB2312" w:hAnsi="仿宋_GB2312" w:hint="eastAsia"/>
          <w:color w:val="auto"/>
          <w:sz w:val="32"/>
          <w:szCs w:val="32"/>
        </w:rPr>
        <w:t>。</w:t>
      </w:r>
    </w:p>
    <w:p w:rsidR="00477DA3" w:rsidRDefault="00850082" w:rsidP="00673D79">
      <w:pPr>
        <w:kinsoku/>
        <w:overflowPunct w:val="0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73D79">
        <w:rPr>
          <w:rFonts w:ascii="黑体" w:eastAsia="黑体" w:hAnsi="黑体" w:hint="eastAsia"/>
          <w:sz w:val="32"/>
          <w:szCs w:val="32"/>
        </w:rPr>
        <w:t>九</w:t>
      </w:r>
      <w:r w:rsidR="00D75D77" w:rsidRPr="00673D79">
        <w:rPr>
          <w:rFonts w:ascii="黑体" w:eastAsia="黑体" w:hAnsi="黑体" w:hint="eastAsia"/>
          <w:sz w:val="32"/>
          <w:szCs w:val="32"/>
        </w:rPr>
        <w:t>、加大旅游用地保障。</w:t>
      </w:r>
      <w:r w:rsidR="00D75D77">
        <w:rPr>
          <w:rFonts w:ascii="仿宋" w:eastAsia="仿宋" w:hAnsi="仿宋" w:hint="eastAsia"/>
          <w:sz w:val="32"/>
          <w:szCs w:val="32"/>
        </w:rPr>
        <w:t>鼓励转型推出的工业用地根据相关规划用于发展文化和旅游产业，支持乡村旅游发展用地，申请使用各地在乡镇国土空间规划中预留的不超过5%的建设用地机动指标。鼓励利用荒地、荒坡、荒滩、废弃矿山等开发旅游项目。</w:t>
      </w:r>
    </w:p>
    <w:p w:rsidR="00477DA3" w:rsidRDefault="00850082" w:rsidP="00673D79">
      <w:pPr>
        <w:kinsoku/>
        <w:overflowPunct w:val="0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73D79">
        <w:rPr>
          <w:rFonts w:ascii="黑体" w:eastAsia="黑体" w:hAnsi="黑体" w:hint="eastAsia"/>
          <w:sz w:val="32"/>
          <w:szCs w:val="32"/>
        </w:rPr>
        <w:t>十</w:t>
      </w:r>
      <w:r w:rsidR="00D75D77" w:rsidRPr="00673D79">
        <w:rPr>
          <w:rFonts w:ascii="黑体" w:eastAsia="黑体" w:hAnsi="黑体" w:hint="eastAsia"/>
          <w:sz w:val="32"/>
          <w:szCs w:val="32"/>
        </w:rPr>
        <w:t>、加强金融支持保障。</w:t>
      </w:r>
      <w:r w:rsidR="00D75D77">
        <w:rPr>
          <w:rFonts w:ascii="仿宋" w:eastAsia="仿宋" w:hAnsi="仿宋" w:hint="eastAsia"/>
          <w:sz w:val="32"/>
          <w:szCs w:val="32"/>
        </w:rPr>
        <w:t>鼓励各级政府加大推动旅游类项目谋划储备力度，符合条件的支持优先申报地方政府专项债券。建立10亿元规模以上的杭州市旅游业发展基金，引导社会资本参与旅游类项目投资。</w:t>
      </w:r>
      <w:r w:rsidR="00D75D77">
        <w:rPr>
          <w:rFonts w:ascii="仿宋_GB2312" w:eastAsia="仿宋_GB2312" w:hAnsi="仿宋_GB2312" w:cs="仿宋_GB2312" w:hint="eastAsia"/>
          <w:sz w:val="32"/>
          <w:szCs w:val="32"/>
        </w:rPr>
        <w:t>鼓励各银行加大对旅游企业授信额度，积极开</w:t>
      </w:r>
      <w:r w:rsidR="00D75D7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展“投资、贷款、债券、租赁”综合协同支持。支持银行创新金融产品，推出更多基于旅游业经营特点的信贷产品。</w:t>
      </w:r>
    </w:p>
    <w:p w:rsidR="00477DA3" w:rsidRDefault="00D75D77" w:rsidP="00673D79">
      <w:pPr>
        <w:kinsoku/>
        <w:overflowPunct w:val="0"/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本政策举措自2023年 月 日起施行，有效期至2025年12月31日。本举措与本市各级其他同类政策有重叠的，按照“从优、就高、不重复”的原则予以支持，扶持（补助、奖励）资金由市和各区、县（市）按财政体制共同承担。</w:t>
      </w:r>
    </w:p>
    <w:p w:rsidR="00477DA3" w:rsidRDefault="00477DA3" w:rsidP="00673D79">
      <w:pPr>
        <w:kinsoku/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77DA3" w:rsidRDefault="00D75D77" w:rsidP="00673D79">
      <w:pPr>
        <w:kinsoku/>
        <w:overflowPunct w:val="0"/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杭州市人民政府办公厅</w:t>
      </w:r>
    </w:p>
    <w:p w:rsidR="00477DA3" w:rsidRDefault="00D75D77" w:rsidP="00673D79">
      <w:pPr>
        <w:kinsoku/>
        <w:overflowPunct w:val="0"/>
        <w:spacing w:line="600" w:lineRule="exact"/>
        <w:ind w:right="64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2023年 月 日</w:t>
      </w:r>
    </w:p>
    <w:p w:rsidR="005B2EA8" w:rsidRPr="005B2EA8" w:rsidRDefault="005B2EA8" w:rsidP="00673D79">
      <w:pPr>
        <w:kinsoku/>
        <w:overflowPunct w:val="0"/>
        <w:spacing w:line="600" w:lineRule="exact"/>
        <w:ind w:right="128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673D79" w:rsidRPr="005B2EA8" w:rsidRDefault="00673D79">
      <w:pPr>
        <w:kinsoku/>
        <w:overflowPunct w:val="0"/>
        <w:spacing w:line="600" w:lineRule="exact"/>
        <w:ind w:right="1280" w:firstLineChars="200" w:firstLine="640"/>
        <w:jc w:val="right"/>
        <w:rPr>
          <w:rFonts w:ascii="仿宋" w:eastAsia="仿宋" w:hAnsi="仿宋"/>
          <w:sz w:val="32"/>
          <w:szCs w:val="32"/>
        </w:rPr>
      </w:pPr>
    </w:p>
    <w:sectPr w:rsidR="00673D79" w:rsidRPr="005B2EA8">
      <w:footerReference w:type="default" r:id="rId8"/>
      <w:pgSz w:w="11906" w:h="16839"/>
      <w:pgMar w:top="1230" w:right="1408" w:bottom="1483" w:left="1521" w:header="0" w:footer="12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1F9" w:rsidRDefault="009E61F9">
      <w:r>
        <w:separator/>
      </w:r>
    </w:p>
  </w:endnote>
  <w:endnote w:type="continuationSeparator" w:id="0">
    <w:p w:rsidR="009E61F9" w:rsidRDefault="009E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605628"/>
    </w:sdtPr>
    <w:sdtEndPr/>
    <w:sdtContent>
      <w:p w:rsidR="00477DA3" w:rsidRDefault="00D75D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D79" w:rsidRPr="00673D79">
          <w:rPr>
            <w:noProof/>
            <w:lang w:val="zh-CN"/>
          </w:rPr>
          <w:t>4</w:t>
        </w:r>
        <w:r>
          <w:fldChar w:fldCharType="end"/>
        </w:r>
      </w:p>
    </w:sdtContent>
  </w:sdt>
  <w:p w:rsidR="00477DA3" w:rsidRDefault="00477DA3">
    <w:pPr>
      <w:spacing w:before="1" w:line="185" w:lineRule="auto"/>
      <w:ind w:right="119"/>
      <w:jc w:val="right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1F9" w:rsidRDefault="009E61F9">
      <w:r>
        <w:separator/>
      </w:r>
    </w:p>
  </w:footnote>
  <w:footnote w:type="continuationSeparator" w:id="0">
    <w:p w:rsidR="009E61F9" w:rsidRDefault="009E6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NDNmMjc0OTJiMTZhMTNhNzE4NmJlMGJhOTU5YmMifQ=="/>
  </w:docVars>
  <w:rsids>
    <w:rsidRoot w:val="00394766"/>
    <w:rsid w:val="FDDF8549"/>
    <w:rsid w:val="0000133B"/>
    <w:rsid w:val="000065D8"/>
    <w:rsid w:val="000066A2"/>
    <w:rsid w:val="000103B1"/>
    <w:rsid w:val="000128A6"/>
    <w:rsid w:val="00012C19"/>
    <w:rsid w:val="00025833"/>
    <w:rsid w:val="0003640F"/>
    <w:rsid w:val="00053452"/>
    <w:rsid w:val="00066A4E"/>
    <w:rsid w:val="00093C6B"/>
    <w:rsid w:val="00094804"/>
    <w:rsid w:val="00096A34"/>
    <w:rsid w:val="000C1A6B"/>
    <w:rsid w:val="000C6C03"/>
    <w:rsid w:val="000C6E82"/>
    <w:rsid w:val="000E1846"/>
    <w:rsid w:val="000E47A9"/>
    <w:rsid w:val="00106D05"/>
    <w:rsid w:val="0013580B"/>
    <w:rsid w:val="001369C0"/>
    <w:rsid w:val="001823D9"/>
    <w:rsid w:val="001970E7"/>
    <w:rsid w:val="001A02A9"/>
    <w:rsid w:val="001C13CC"/>
    <w:rsid w:val="001D0DE5"/>
    <w:rsid w:val="001D7823"/>
    <w:rsid w:val="001E15FE"/>
    <w:rsid w:val="00203A50"/>
    <w:rsid w:val="00207F4F"/>
    <w:rsid w:val="00211233"/>
    <w:rsid w:val="002601A9"/>
    <w:rsid w:val="00260681"/>
    <w:rsid w:val="00270C25"/>
    <w:rsid w:val="00283784"/>
    <w:rsid w:val="00292042"/>
    <w:rsid w:val="002A64CA"/>
    <w:rsid w:val="002B0908"/>
    <w:rsid w:val="002B5BB2"/>
    <w:rsid w:val="002C462C"/>
    <w:rsid w:val="002D0B5B"/>
    <w:rsid w:val="002D30B3"/>
    <w:rsid w:val="002E39B2"/>
    <w:rsid w:val="00304571"/>
    <w:rsid w:val="0031293C"/>
    <w:rsid w:val="0031424C"/>
    <w:rsid w:val="00314BC8"/>
    <w:rsid w:val="00317B36"/>
    <w:rsid w:val="003358D8"/>
    <w:rsid w:val="00341965"/>
    <w:rsid w:val="0034728A"/>
    <w:rsid w:val="0038716A"/>
    <w:rsid w:val="00394766"/>
    <w:rsid w:val="003B1BA0"/>
    <w:rsid w:val="003C16F7"/>
    <w:rsid w:val="003D0DBB"/>
    <w:rsid w:val="003D4974"/>
    <w:rsid w:val="003D6EF0"/>
    <w:rsid w:val="003E3B63"/>
    <w:rsid w:val="003F0416"/>
    <w:rsid w:val="00403C48"/>
    <w:rsid w:val="00415B83"/>
    <w:rsid w:val="004605B3"/>
    <w:rsid w:val="00477DA3"/>
    <w:rsid w:val="004812EC"/>
    <w:rsid w:val="00481C9C"/>
    <w:rsid w:val="00492397"/>
    <w:rsid w:val="004B5C2E"/>
    <w:rsid w:val="004D1745"/>
    <w:rsid w:val="004E7908"/>
    <w:rsid w:val="00500D7D"/>
    <w:rsid w:val="0050765B"/>
    <w:rsid w:val="0051508F"/>
    <w:rsid w:val="00522F69"/>
    <w:rsid w:val="00523927"/>
    <w:rsid w:val="00531E7F"/>
    <w:rsid w:val="00535330"/>
    <w:rsid w:val="005419D7"/>
    <w:rsid w:val="005529E4"/>
    <w:rsid w:val="00552AEA"/>
    <w:rsid w:val="00564D64"/>
    <w:rsid w:val="00567D69"/>
    <w:rsid w:val="00595352"/>
    <w:rsid w:val="005B2215"/>
    <w:rsid w:val="005B2EA8"/>
    <w:rsid w:val="005E1094"/>
    <w:rsid w:val="005E198C"/>
    <w:rsid w:val="005F077A"/>
    <w:rsid w:val="0060209A"/>
    <w:rsid w:val="00610E55"/>
    <w:rsid w:val="00611FA0"/>
    <w:rsid w:val="0062698A"/>
    <w:rsid w:val="00627400"/>
    <w:rsid w:val="00636444"/>
    <w:rsid w:val="006473EC"/>
    <w:rsid w:val="0065067E"/>
    <w:rsid w:val="00653A5B"/>
    <w:rsid w:val="00662D4C"/>
    <w:rsid w:val="00662F86"/>
    <w:rsid w:val="00673D79"/>
    <w:rsid w:val="006C0CE0"/>
    <w:rsid w:val="006E0646"/>
    <w:rsid w:val="006F5C78"/>
    <w:rsid w:val="006F67FD"/>
    <w:rsid w:val="006F7468"/>
    <w:rsid w:val="00706BAC"/>
    <w:rsid w:val="007118AC"/>
    <w:rsid w:val="00713CE0"/>
    <w:rsid w:val="00713EF5"/>
    <w:rsid w:val="00745275"/>
    <w:rsid w:val="00754235"/>
    <w:rsid w:val="00760813"/>
    <w:rsid w:val="00760853"/>
    <w:rsid w:val="00770103"/>
    <w:rsid w:val="0077327A"/>
    <w:rsid w:val="00784709"/>
    <w:rsid w:val="00784FCB"/>
    <w:rsid w:val="007975D9"/>
    <w:rsid w:val="007B090D"/>
    <w:rsid w:val="007B104B"/>
    <w:rsid w:val="007B39FA"/>
    <w:rsid w:val="007D301A"/>
    <w:rsid w:val="007E5EF5"/>
    <w:rsid w:val="007E7C02"/>
    <w:rsid w:val="007F033B"/>
    <w:rsid w:val="007F280C"/>
    <w:rsid w:val="007F2B71"/>
    <w:rsid w:val="0080764A"/>
    <w:rsid w:val="00814F46"/>
    <w:rsid w:val="008242E9"/>
    <w:rsid w:val="00831129"/>
    <w:rsid w:val="00840D29"/>
    <w:rsid w:val="00843817"/>
    <w:rsid w:val="00847F69"/>
    <w:rsid w:val="00850082"/>
    <w:rsid w:val="00877BF3"/>
    <w:rsid w:val="008865D5"/>
    <w:rsid w:val="00892823"/>
    <w:rsid w:val="008B06E3"/>
    <w:rsid w:val="008B0DCA"/>
    <w:rsid w:val="008D3340"/>
    <w:rsid w:val="008E2A3F"/>
    <w:rsid w:val="008E30E2"/>
    <w:rsid w:val="008E3F55"/>
    <w:rsid w:val="008F2F94"/>
    <w:rsid w:val="008F411F"/>
    <w:rsid w:val="008F4683"/>
    <w:rsid w:val="009021B3"/>
    <w:rsid w:val="0092745D"/>
    <w:rsid w:val="00932254"/>
    <w:rsid w:val="00937658"/>
    <w:rsid w:val="00945579"/>
    <w:rsid w:val="009534E5"/>
    <w:rsid w:val="0097406E"/>
    <w:rsid w:val="009751A8"/>
    <w:rsid w:val="00982B35"/>
    <w:rsid w:val="009A0E08"/>
    <w:rsid w:val="009A1477"/>
    <w:rsid w:val="009A65B1"/>
    <w:rsid w:val="009D2EED"/>
    <w:rsid w:val="009E3144"/>
    <w:rsid w:val="009E61F9"/>
    <w:rsid w:val="009F3629"/>
    <w:rsid w:val="009F7EF8"/>
    <w:rsid w:val="00A179A1"/>
    <w:rsid w:val="00A26DAB"/>
    <w:rsid w:val="00A31A4C"/>
    <w:rsid w:val="00A3230E"/>
    <w:rsid w:val="00A426DF"/>
    <w:rsid w:val="00A42DD8"/>
    <w:rsid w:val="00A453C8"/>
    <w:rsid w:val="00A52EC0"/>
    <w:rsid w:val="00A63D04"/>
    <w:rsid w:val="00A71CEE"/>
    <w:rsid w:val="00A81160"/>
    <w:rsid w:val="00AA06C6"/>
    <w:rsid w:val="00AB054E"/>
    <w:rsid w:val="00AC1D34"/>
    <w:rsid w:val="00AF640F"/>
    <w:rsid w:val="00B0060E"/>
    <w:rsid w:val="00B04194"/>
    <w:rsid w:val="00B11061"/>
    <w:rsid w:val="00B179BE"/>
    <w:rsid w:val="00B20C9B"/>
    <w:rsid w:val="00B22E20"/>
    <w:rsid w:val="00B338FA"/>
    <w:rsid w:val="00B542C0"/>
    <w:rsid w:val="00B55EDB"/>
    <w:rsid w:val="00B70F65"/>
    <w:rsid w:val="00B90964"/>
    <w:rsid w:val="00B94681"/>
    <w:rsid w:val="00BB5A59"/>
    <w:rsid w:val="00BC2D52"/>
    <w:rsid w:val="00BE605F"/>
    <w:rsid w:val="00BE7723"/>
    <w:rsid w:val="00BE7A37"/>
    <w:rsid w:val="00BF429A"/>
    <w:rsid w:val="00BF622A"/>
    <w:rsid w:val="00C04E71"/>
    <w:rsid w:val="00C343D4"/>
    <w:rsid w:val="00C50E90"/>
    <w:rsid w:val="00C51B1D"/>
    <w:rsid w:val="00C60C0D"/>
    <w:rsid w:val="00C673BE"/>
    <w:rsid w:val="00C7578C"/>
    <w:rsid w:val="00CB1C14"/>
    <w:rsid w:val="00CB5664"/>
    <w:rsid w:val="00CC09A2"/>
    <w:rsid w:val="00CF2623"/>
    <w:rsid w:val="00CF42A3"/>
    <w:rsid w:val="00D03824"/>
    <w:rsid w:val="00D10352"/>
    <w:rsid w:val="00D208C0"/>
    <w:rsid w:val="00D2564D"/>
    <w:rsid w:val="00D5335B"/>
    <w:rsid w:val="00D75D77"/>
    <w:rsid w:val="00D82585"/>
    <w:rsid w:val="00D95B5A"/>
    <w:rsid w:val="00DA3116"/>
    <w:rsid w:val="00DA3CCC"/>
    <w:rsid w:val="00DA4C4F"/>
    <w:rsid w:val="00DB55E2"/>
    <w:rsid w:val="00DC355B"/>
    <w:rsid w:val="00DE229D"/>
    <w:rsid w:val="00DE265A"/>
    <w:rsid w:val="00DF20ED"/>
    <w:rsid w:val="00E03FAA"/>
    <w:rsid w:val="00E300D3"/>
    <w:rsid w:val="00E55CAF"/>
    <w:rsid w:val="00E57083"/>
    <w:rsid w:val="00E82F8F"/>
    <w:rsid w:val="00E95DE1"/>
    <w:rsid w:val="00EC2565"/>
    <w:rsid w:val="00EE1593"/>
    <w:rsid w:val="00EE593E"/>
    <w:rsid w:val="00EF248B"/>
    <w:rsid w:val="00F00BB9"/>
    <w:rsid w:val="00F026EC"/>
    <w:rsid w:val="00F0658C"/>
    <w:rsid w:val="00F140EF"/>
    <w:rsid w:val="00F14D16"/>
    <w:rsid w:val="00F31E0A"/>
    <w:rsid w:val="00F40B51"/>
    <w:rsid w:val="00F522BE"/>
    <w:rsid w:val="00F56BE5"/>
    <w:rsid w:val="00F61824"/>
    <w:rsid w:val="00F64339"/>
    <w:rsid w:val="00F71916"/>
    <w:rsid w:val="00F7477E"/>
    <w:rsid w:val="00F82172"/>
    <w:rsid w:val="00F82FF6"/>
    <w:rsid w:val="00FA0212"/>
    <w:rsid w:val="00FA0E56"/>
    <w:rsid w:val="00FB60DE"/>
    <w:rsid w:val="00FD097B"/>
    <w:rsid w:val="00FD1C33"/>
    <w:rsid w:val="00FD2C85"/>
    <w:rsid w:val="00FE0C87"/>
    <w:rsid w:val="00FE2836"/>
    <w:rsid w:val="00FF4DCF"/>
    <w:rsid w:val="0D906017"/>
    <w:rsid w:val="555F3092"/>
    <w:rsid w:val="57751DBE"/>
    <w:rsid w:val="63E91F3B"/>
    <w:rsid w:val="6A87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pPr>
      <w:widowControl w:val="0"/>
      <w:kinsoku/>
      <w:autoSpaceDE/>
      <w:autoSpaceDN/>
      <w:adjustRightInd/>
      <w:snapToGrid/>
      <w:spacing w:after="120"/>
      <w:jc w:val="both"/>
      <w:textAlignment w:val="auto"/>
    </w:pPr>
    <w:rPr>
      <w:rFonts w:asciiTheme="minorHAnsi" w:hAnsiTheme="minorHAnsi" w:cstheme="minorBidi"/>
      <w:snapToGrid/>
      <w:color w:val="auto"/>
      <w:kern w:val="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widowControl w:val="0"/>
      <w:kinsoku/>
      <w:autoSpaceDE/>
      <w:autoSpaceDN/>
      <w:adjustRightInd/>
      <w:snapToGrid/>
      <w:ind w:firstLineChars="200" w:firstLine="420"/>
      <w:jc w:val="both"/>
      <w:textAlignment w:val="auto"/>
    </w:pPr>
    <w:rPr>
      <w:rFonts w:asciiTheme="minorHAnsi" w:hAnsiTheme="minorHAnsi" w:cstheme="minorBidi"/>
      <w:snapToGrid/>
      <w:color w:val="auto"/>
      <w:kern w:val="2"/>
      <w:szCs w:val="24"/>
    </w:rPr>
  </w:style>
  <w:style w:type="character" w:customStyle="1" w:styleId="Char">
    <w:name w:val="正文文本 Char"/>
    <w:basedOn w:val="a0"/>
    <w:link w:val="a3"/>
    <w:qFormat/>
    <w:rPr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Arial" w:hAnsi="Arial" w:cs="Arial"/>
      <w:snapToGrid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pPr>
      <w:widowControl w:val="0"/>
      <w:kinsoku/>
      <w:autoSpaceDE/>
      <w:autoSpaceDN/>
      <w:adjustRightInd/>
      <w:snapToGrid/>
      <w:spacing w:after="120"/>
      <w:jc w:val="both"/>
      <w:textAlignment w:val="auto"/>
    </w:pPr>
    <w:rPr>
      <w:rFonts w:asciiTheme="minorHAnsi" w:hAnsiTheme="minorHAnsi" w:cstheme="minorBidi"/>
      <w:snapToGrid/>
      <w:color w:val="auto"/>
      <w:kern w:val="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widowControl w:val="0"/>
      <w:kinsoku/>
      <w:autoSpaceDE/>
      <w:autoSpaceDN/>
      <w:adjustRightInd/>
      <w:snapToGrid/>
      <w:ind w:firstLineChars="200" w:firstLine="420"/>
      <w:jc w:val="both"/>
      <w:textAlignment w:val="auto"/>
    </w:pPr>
    <w:rPr>
      <w:rFonts w:asciiTheme="minorHAnsi" w:hAnsiTheme="minorHAnsi" w:cstheme="minorBidi"/>
      <w:snapToGrid/>
      <w:color w:val="auto"/>
      <w:kern w:val="2"/>
      <w:szCs w:val="24"/>
    </w:rPr>
  </w:style>
  <w:style w:type="character" w:customStyle="1" w:styleId="Char">
    <w:name w:val="正文文本 Char"/>
    <w:basedOn w:val="a0"/>
    <w:link w:val="a3"/>
    <w:qFormat/>
    <w:rPr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286</Words>
  <Characters>1632</Characters>
  <Application>Microsoft Office Word</Application>
  <DocSecurity>0</DocSecurity>
  <Lines>13</Lines>
  <Paragraphs>3</Paragraphs>
  <ScaleCrop>false</ScaleCrop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2023-02-13T03:31:00Z</dcterms:created>
  <dcterms:modified xsi:type="dcterms:W3CDTF">2023-02-13T03:34:00Z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06C4D0E293F9435897918B7CA9ED4691</vt:lpwstr>
  </property>
</Properties>
</file>